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-397509</wp:posOffset>
            </wp:positionH>
            <wp:positionV relativeFrom="paragraph">
              <wp:posOffset>490855</wp:posOffset>
            </wp:positionV>
            <wp:extent cx="1066800" cy="1134110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341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-406399</wp:posOffset>
                </wp:positionV>
                <wp:extent cx="5267325" cy="112395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17100" y="3222788"/>
                          <a:ext cx="52578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ESCOLA ESTADUAL DE ENSINO MÉDIO ALMIRANTE TAMANDARÉ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Av. Gal. Lopes de Oliveira, nº 976 – Fone (54) 3615 - 1149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Almirante Tamandaré do Sul -RS – CEP. 99.523-000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Decreto nº 39.906 de 30 de Dezembro de 1999.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39ª Coordenadoria Regional de Educação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-406399</wp:posOffset>
                </wp:positionV>
                <wp:extent cx="5267325" cy="112395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7325" cy="1123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Ao Sicredi Cooperação RS/SC 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FUNDO SOCIAL SICREDI 2022 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Ao cumprimentá-los, viemos por meio deste, apresentar nosso projeto: “ Educação Financeira e Sustentabilidade”, para ser contemplado com ajuda financeira do Fundo Social Sicredi 2022.</w:t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 Associação Círculo de Pais e Mestres, mantém conta com o Sicredi, Unidade de Almirante Tamandaré do Sul, desde maio de 2001.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Como Instituição, iremos nos comprometer em cumprir com seriedade e competência, cada fase do projeto, respeitando todos os dispostos no Regulamento do Fundo Social Sicredi, assim como realizarmos uma ampla divulgação da parceria ao conduzi-lo.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Estaremos à disposição para quaisquer esclarecimentos sobre o projeto e seu andamento, assim como sugestões e melhorias que venham a beneficiar o mesmo.</w:t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Projeto 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Educação Financeira e Sustentabilidade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Um pouco de nossa história e situação escolar atual: </w:t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 escola foi criada em 7 de janeiro de 1939, a qual chamava-se Grupo Escolar Almirante Tamandaré com o Decreto de Criação n°7675/39, o funcionamento da 1° a 5° série, mais tarde através da portaria SEC n° 738/75 foi autorizado o funcionamento da 6° série.</w:t>
      </w:r>
    </w:p>
    <w:p w:rsidR="00000000" w:rsidDel="00000000" w:rsidP="00000000" w:rsidRDefault="00000000" w:rsidRPr="00000000" w14:paraId="0000001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No ano seguinte, através da portaria SEC n° 286/76, foi autorizado o funcionamento das séries finais do Ensino Fundamental – 7° e 8° séries, passando a designar-se Escola Estadual de 1° Grau Almirante Tamandaré.</w:t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Desta forma, de acordo com necessidades da comunidade local foi autorizado funcionamento do 2° Grau com extensão da Escola Estadual de 2° Grau  Cônego João Batista Sorg, de Carazinho, com o parecer n° 672/92, se constituindo como uma grande conquista para a comunidade geral.</w:t>
      </w:r>
    </w:p>
    <w:p w:rsidR="00000000" w:rsidDel="00000000" w:rsidP="00000000" w:rsidRDefault="00000000" w:rsidRPr="00000000" w14:paraId="0000001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Mais tarde a escola conseguiu sua própria autonomia, para o funcionamento do Ensino Médio, passando através do Decreto n° 39.906 de 30 de dezembro de 1999, a designar-se Escola Estadual de Ensino Médio Almirante Tamandaré. </w:t>
      </w:r>
    </w:p>
    <w:p w:rsidR="00000000" w:rsidDel="00000000" w:rsidP="00000000" w:rsidRDefault="00000000" w:rsidRPr="00000000" w14:paraId="0000001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Contamos este ano (2022) com 133 alunos. A escola se constitui como um ponto de referência para a comunidade, devido a tradição histórica e sua contribuição na formação de cidadãos conscientes e participantes de nossa comunidade.</w:t>
      </w:r>
    </w:p>
    <w:p w:rsidR="00000000" w:rsidDel="00000000" w:rsidP="00000000" w:rsidRDefault="00000000" w:rsidRPr="00000000" w14:paraId="0000001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INTRODUÇÃO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Falar de Educação Financeira e Sustentabilidade se torna a cada dia, mais importante e necessário na vida das pessoas. </w:t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Muitas pessoas procuram melhorar de vida, mas não sabem nem por onde começar.         Como reflexo da formação de consumidores pouco informados diante das facilidades de créditos e do consumo imediato e impulsivo da nossa sociedade, a conjuntura caracteriza-se por situações financeiras difíceis que colocam em risco a saúde de uma parcela significativa da população . </w:t>
      </w:r>
    </w:p>
    <w:p w:rsidR="00000000" w:rsidDel="00000000" w:rsidP="00000000" w:rsidRDefault="00000000" w:rsidRPr="00000000" w14:paraId="0000002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A Educação Financeira nas Instituições de Ensino é uma das habilidades obrigatórias entre os componentes curriculares, de acordo com a Base Nacional Comum Curricular – BNCC (2017). A Base Nacional Comum Curricular, que estabelece referências para o ensino no Brasil, classificou a Educação Financeira e a educação para o consumo como - habilidades obrigatórias entre os componentes curriculares‖ (BNCC, 2017, p. 4).</w:t>
      </w:r>
    </w:p>
    <w:p w:rsidR="00000000" w:rsidDel="00000000" w:rsidP="00000000" w:rsidRDefault="00000000" w:rsidRPr="00000000" w14:paraId="0000002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O planejamento financeiro é uma ferramenta de controle da vida financeira das pessoas, sendo uma obrigação pessoal cada vez mais cedo. Portanto, Houaiss (2001) menciona que Educação se refere à ação de desenvolver as faculdades psíquicas, intelectuais e morais: a educação da juventude e como decorrência desta ação, conhecimento e prática dos hábitos sociais, boas maneiras. </w:t>
      </w:r>
    </w:p>
    <w:p w:rsidR="00000000" w:rsidDel="00000000" w:rsidP="00000000" w:rsidRDefault="00000000" w:rsidRPr="00000000" w14:paraId="0000002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  Segundo Freire (2007), a instituição escolar deve ser um lugar de trabalho, de ensino, de aprendizagem. Por esta lógica, a instituição escolar como espaço de multifunções, em que formação‖ e informação‖ estão presentes e as aprendizagens são construídas e reconstruídas a todo instante, torna-se necessário inserir o aluno em questões econômicas, políticas, sociais, culturais. Assim, os processos de ensino e de aprendizagem discutidos na escola devem proporcionar ao aluno o desenvolvimento dessas habilidades e capacidades individuais, de maneira que compreendam os fenômenos pelos quais passa a sociedade. Desse modo, os alunos poderão desfrutar de manifestações diversas da sociedade em que vivem e inseri-las em suas vidas, caso desejem (LIBÂNEO, 1994).</w:t>
      </w:r>
    </w:p>
    <w:p w:rsidR="00000000" w:rsidDel="00000000" w:rsidP="00000000" w:rsidRDefault="00000000" w:rsidRPr="00000000" w14:paraId="0000002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Outro aspecto importante, é ressaltar que a escola desempenha um papel social de extrema importância e deve contribuir para levar o conhecimento de Educação Financeira e Sustentabilidade para dentro do espaço escolar, fomentando a discussão nas aulas de Matemática, Sociologia, História, dentre outras áreas do conhecimento, tanto esclarecendo, como desenvolvendo atividades direcionadas a essa questão. Como os indivíduos possuem suas peculiaridades, comportamentos, competências e habilidades que os diferem uns dos outros e nem todos possuem os mesmos interesses, é necessário buscar diferentes formas de ensinar para que os sujeitos aprendam, cada um, a seu tempo, promovendo assim interação entre escola e sociedade.</w:t>
      </w:r>
    </w:p>
    <w:p w:rsidR="00000000" w:rsidDel="00000000" w:rsidP="00000000" w:rsidRDefault="00000000" w:rsidRPr="00000000" w14:paraId="0000002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O desenvolvimento sustentável teve seu início por volta da década de 70, momento em que a sociedade começou a perceber que os recursos naturais, até então considerados inesgotáveis, tinham um limite de uso que, se não respeitado, levaria os mesmos ao esgotamento. </w:t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Podemos destacar o crescimento econômico como um processo linear e infinito, trazendo assim, os  seus primeiros obstáculos, ou seja, a incapacidade dos ecossistemas em regenerar-se adequadamente frente à superexploração aliada à degradação ambiental. Várias conferências começaram a alertar sobre o perigo para a humanidade se não houvesse uma mudança no modelo de desenvolvimento, detalhado em :Estocolmo 72, Relatório Nosso Futuro Comum, Rio-92, Rio+10, Rio+20, entre outras. </w:t>
      </w:r>
    </w:p>
    <w:p w:rsidR="00000000" w:rsidDel="00000000" w:rsidP="00000000" w:rsidRDefault="00000000" w:rsidRPr="00000000" w14:paraId="0000002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No bojo da Conferência Rio-92, mais de 170 países acordaram e ratificaram a Agenda 21 Global, um programa de ações que constitui a mais abrangente tentativa já realizada de promover, em escala planetária, um novo padrão de desenvolvimento. A Agenda 21 passou a ser reconhecida como um importante instrumento de planejamento para a construção de sociedades sustentáveis em diferentes realidades geopolíticas, conciliando</w:t>
      </w:r>
    </w:p>
    <w:p w:rsidR="00000000" w:rsidDel="00000000" w:rsidP="00000000" w:rsidRDefault="00000000" w:rsidRPr="00000000" w14:paraId="0000002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métodos de proteção ambiental com aspectos de justiça social e eficiência econômica.</w:t>
      </w:r>
    </w:p>
    <w:p w:rsidR="00000000" w:rsidDel="00000000" w:rsidP="00000000" w:rsidRDefault="00000000" w:rsidRPr="00000000" w14:paraId="0000002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1.1 OBJETIVOS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1.1.1 Objetivo geral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Tendo em vista a necessidade e a importância do estudo do tema Matemática Financeira </w:t>
      </w:r>
      <w:r w:rsidDel="00000000" w:rsidR="00000000" w:rsidRPr="00000000">
        <w:rPr>
          <w:rtl w:val="0"/>
        </w:rPr>
        <w:t xml:space="preserve">e Sustentabilidade,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criou-se o presente projeto, na busca de  fornecer conceitos e </w:t>
      </w:r>
      <w:r w:rsidDel="00000000" w:rsidR="00000000" w:rsidRPr="00000000">
        <w:rPr>
          <w:rtl w:val="0"/>
        </w:rPr>
        <w:t xml:space="preserve">análises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financeiras e ambientais, para que o aluno possa ter argumentação e tomada de decisões com mais apropriação e respeito ao meio que está inserido.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1.1.2 Objetivos específicos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objetivos específicos do ensino de matemática financeira e sustentabilidade para os alunos devem levar os alunos a: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• Compreender os conceitos, procedimentos e estratégias matemáticas e sustentáveis que permitam adquirir uma formação científica geral e avançar em estudos posteriores;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• Aplicar seus conhecimentos matemáticos e sustentáveis nas atividades cotidianas;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Desenvolver a capacidade de raciocínio, de resolver problemas, bem como seu espírito crítico e sua criatividade perante ao meio ao qual está inserido: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Expressar-se em linguagem oral e escrita diante de situações matemáticas e sustentáveis: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• Analisar e interpretar criticamente dados provenientes de problemas matemáticos e sustentáveis  do cotidiano.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Desenvolver atitudes positivas em relação à matemática financeira e sustentabilidade,  como autonomia, confiança quanto às capacidades matemáticas e perseverança na resolução de problemas; 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2.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</w:t>
      </w:r>
    </w:p>
    <w:p w:rsidR="00000000" w:rsidDel="00000000" w:rsidP="00000000" w:rsidRDefault="00000000" w:rsidRPr="00000000" w14:paraId="0000003B">
      <w:pPr>
        <w:shd w:fill="ffffff" w:val="clear"/>
        <w:spacing w:after="280" w:before="280" w:line="360" w:lineRule="auto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 perspectiva de uma educação mais inclusiva e dedicada</w:t>
      </w:r>
      <w:r w:rsidDel="00000000" w:rsidR="00000000" w:rsidRPr="00000000">
        <w:rPr>
          <w:rtl w:val="0"/>
        </w:rPr>
        <w:t xml:space="preserve"> às necessidades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locais, a ideia pretendida pelo projeto será proporcionar ao educando a condição de fazer suas próprias descobertas, aprender a gerir suas finanças, de maneira que ele saiba tomar decisões acertadas, assim como descobrir e validar dados sustentáveis.  A participação do educador será no sentido de auxiliar e mediar os processos de ensino e aprendizagem, buscando metodologias diferenciadas, proporcionando a construção da aprendizagem de seus alunos.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b w:val="1"/>
          <w:rtl w:val="0"/>
        </w:rPr>
        <w:t xml:space="preserve">META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projeto tem como meta a reforma da estufa escolar, assim como a irrigação da mesma, sendo esta de maneira fixa ao teto da mesma, assim como também, a reformulação e replanta das frutíferas do pomar escolar, também pretendemos rodear a escola com frutíferas nativas como a pitanga, jabuticaba, gabijú, entre outras, sendo estas com mudas selecionadas, híbridas e de boa qualidade, para que assim possamos desfrutar dos frutos e sombra oferecidas por elas.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</w:t>
      </w:r>
      <w:r w:rsidDel="00000000" w:rsidR="00000000" w:rsidRPr="00000000">
        <w:rPr>
          <w:b w:val="1"/>
          <w:rtl w:val="0"/>
        </w:rPr>
        <w:t xml:space="preserve">USTOS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custo total do projeto será de aproximadamente 9 mil reais. ( Nove Mil Reais), oriundos do FUNDO SOCIAL SICREDI COOPERAÇÃO RS/SC.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aprovação do  projeto, se desenvolverá  na sequência, a organização de orçamentos para a realização das aquisições e prestações de serviços que forem necessárias.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</w:t>
      </w:r>
      <w:r w:rsidDel="00000000" w:rsidR="00000000" w:rsidRPr="00000000">
        <w:rPr>
          <w:b w:val="1"/>
          <w:rtl w:val="0"/>
        </w:rPr>
        <w:t xml:space="preserve">RONOGRAMA DE EXECUÇÃO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03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13.9320691422454"/>
        <w:gridCol w:w="1257.9159483762755"/>
        <w:gridCol w:w="1257.9159483762755"/>
        <w:gridCol w:w="1257.9159483762755"/>
        <w:gridCol w:w="1257.9159483762755"/>
        <w:gridCol w:w="1257.9159483762755"/>
        <w:tblGridChange w:id="0">
          <w:tblGrid>
            <w:gridCol w:w="2213.9320691422454"/>
            <w:gridCol w:w="1257.9159483762755"/>
            <w:gridCol w:w="1257.9159483762755"/>
            <w:gridCol w:w="1257.9159483762755"/>
            <w:gridCol w:w="1257.9159483762755"/>
            <w:gridCol w:w="1257.9159483762755"/>
          </w:tblGrid>
        </w:tblGridChange>
      </w:tblGrid>
      <w:tr>
        <w:trPr>
          <w:cantSplit w:val="0"/>
          <w:trHeight w:val="519.4775390625" w:hRule="atLeast"/>
          <w:tblHeader w:val="0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cyan"/>
                <w:rtl w:val="0"/>
              </w:rPr>
              <w:t xml:space="preserve">                                   Planilha de execução e planejamento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Junho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Julho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agosto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setembro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Inscrição no Site Sicredi Cooperação RS/SC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Orçamentos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Aquisição de materiais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Execução de Serviços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Prestação de Contas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BIBLIOGRAFIA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ANDRINI, A; VASCONCELLOS, M J. Praticando Matemática. São Paulo: Editora</w:t>
      </w:r>
    </w:p>
    <w:p w:rsidR="00000000" w:rsidDel="00000000" w:rsidP="00000000" w:rsidRDefault="00000000" w:rsidRPr="00000000" w14:paraId="0000008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do Brasil, 2012. 9a. Ed renovada.</w:t>
      </w:r>
    </w:p>
    <w:p w:rsidR="00000000" w:rsidDel="00000000" w:rsidP="00000000" w:rsidRDefault="00000000" w:rsidRPr="00000000" w14:paraId="0000008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BORBA, M. C.; PENTEADO, M. G. Informática e Educação Matemática. Coleção</w:t>
      </w:r>
    </w:p>
    <w:p w:rsidR="00000000" w:rsidDel="00000000" w:rsidP="00000000" w:rsidRDefault="00000000" w:rsidRPr="00000000" w14:paraId="0000008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Tendências em Educação Matemática. Belo Horizonte: Autêntica, 2001.</w:t>
      </w:r>
    </w:p>
    <w:p w:rsidR="00000000" w:rsidDel="00000000" w:rsidP="00000000" w:rsidRDefault="00000000" w:rsidRPr="00000000" w14:paraId="0000008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BRASIL. Secretaria de Educação Fundamental. Parâmetros curriculares nacionais:</w:t>
      </w:r>
    </w:p>
    <w:p w:rsidR="00000000" w:rsidDel="00000000" w:rsidP="00000000" w:rsidRDefault="00000000" w:rsidRPr="00000000" w14:paraId="0000008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matemática / Secretaria de Educação Fundamental. Brasília: MEC/SEF, 1997.</w:t>
      </w:r>
    </w:p>
    <w:p w:rsidR="00000000" w:rsidDel="00000000" w:rsidP="00000000" w:rsidRDefault="00000000" w:rsidRPr="00000000" w14:paraId="0000008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DANTE, LUIZ ROBERTO. Tudo é Matemática. São Paulo: Ática.2008. 3a ed. 4</w:t>
      </w:r>
    </w:p>
    <w:p w:rsidR="00000000" w:rsidDel="00000000" w:rsidP="00000000" w:rsidRDefault="00000000" w:rsidRPr="00000000" w14:paraId="0000008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vols.</w:t>
      </w:r>
    </w:p>
    <w:p w:rsidR="00000000" w:rsidDel="00000000" w:rsidP="00000000" w:rsidRDefault="00000000" w:rsidRPr="00000000" w14:paraId="0000008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GIOVANNI, CASTRUCCI e GIOVANNI JR. A conquista da matemática. São Paulo:</w:t>
      </w:r>
    </w:p>
    <w:p w:rsidR="00000000" w:rsidDel="00000000" w:rsidP="00000000" w:rsidRDefault="00000000" w:rsidRPr="00000000" w14:paraId="0000008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Editora FTD. 7ª série.</w:t>
      </w:r>
    </w:p>
    <w:p w:rsidR="00000000" w:rsidDel="00000000" w:rsidP="00000000" w:rsidRDefault="00000000" w:rsidRPr="00000000" w14:paraId="0000008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IANCHINI, E., PACCOLA, H. Sistemas de Numeração ao longo da História. São</w:t>
      </w:r>
    </w:p>
    <w:p w:rsidR="00000000" w:rsidDel="00000000" w:rsidP="00000000" w:rsidRDefault="00000000" w:rsidRPr="00000000" w14:paraId="0000008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Paulo: Editora Moderna, 1997.</w:t>
      </w:r>
    </w:p>
    <w:p w:rsidR="00000000" w:rsidDel="00000000" w:rsidP="00000000" w:rsidRDefault="00000000" w:rsidRPr="00000000" w14:paraId="0000009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IMENES, L. M. Brincando com números. São Paulo: Editora Scipione, 2000,</w:t>
      </w:r>
    </w:p>
    <w:p w:rsidR="00000000" w:rsidDel="00000000" w:rsidP="00000000" w:rsidRDefault="00000000" w:rsidRPr="00000000" w14:paraId="0000009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Coleção vivendo a matemática.</w:t>
      </w:r>
    </w:p>
    <w:p w:rsidR="00000000" w:rsidDel="00000000" w:rsidP="00000000" w:rsidRDefault="00000000" w:rsidRPr="00000000" w14:paraId="0000009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GUELLI, O. A invenção dos números. São Paulo: Ática, 1992, Coleção contando</w:t>
      </w:r>
    </w:p>
    <w:p w:rsidR="00000000" w:rsidDel="00000000" w:rsidP="00000000" w:rsidRDefault="00000000" w:rsidRPr="00000000" w14:paraId="0000009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 história da matemática.</w:t>
      </w:r>
    </w:p>
    <w:p w:rsidR="00000000" w:rsidDel="00000000" w:rsidP="00000000" w:rsidRDefault="00000000" w:rsidRPr="00000000" w14:paraId="0000009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2"/>
      <w:numFmt w:val="decimal"/>
      <w:lvlText w:val="%1.%2."/>
      <w:lvlJc w:val="left"/>
      <w:pPr>
        <w:ind w:left="1080" w:hanging="360"/>
      </w:pPr>
      <w:rPr/>
    </w:lvl>
    <w:lvl w:ilvl="2">
      <w:start w:val="1"/>
      <w:numFmt w:val="decimal"/>
      <w:lvlText w:val="%1.%2.%3."/>
      <w:lvlJc w:val="left"/>
      <w:pPr>
        <w:ind w:left="1800" w:hanging="720"/>
      </w:pPr>
      <w:rPr/>
    </w:lvl>
    <w:lvl w:ilvl="3">
      <w:start w:val="1"/>
      <w:numFmt w:val="decimal"/>
      <w:lvlText w:val="%1.%2.%3.%4."/>
      <w:lvlJc w:val="left"/>
      <w:pPr>
        <w:ind w:left="2160" w:hanging="720"/>
      </w:pPr>
      <w:rPr/>
    </w:lvl>
    <w:lvl w:ilvl="4">
      <w:start w:val="1"/>
      <w:numFmt w:val="decimal"/>
      <w:lvlText w:val="%1.%2.%3.%4.%5."/>
      <w:lvlJc w:val="left"/>
      <w:pPr>
        <w:ind w:left="2880" w:hanging="1080"/>
      </w:pPr>
      <w:rPr/>
    </w:lvl>
    <w:lvl w:ilvl="5">
      <w:start w:val="1"/>
      <w:numFmt w:val="decimal"/>
      <w:lvlText w:val="%1.%2.%3.%4.%5.%6."/>
      <w:lvlJc w:val="left"/>
      <w:pPr>
        <w:ind w:left="3240" w:hanging="1080"/>
      </w:pPr>
      <w:rPr/>
    </w:lvl>
    <w:lvl w:ilvl="6">
      <w:start w:val="1"/>
      <w:numFmt w:val="decimal"/>
      <w:lvlText w:val="%1.%2.%3.%4.%5.%6.%7."/>
      <w:lvlJc w:val="left"/>
      <w:pPr>
        <w:ind w:left="3960" w:hanging="1440"/>
      </w:pPr>
      <w:rPr/>
    </w:lvl>
    <w:lvl w:ilvl="7">
      <w:start w:val="1"/>
      <w:numFmt w:val="decimal"/>
      <w:lvlText w:val="%1.%2.%3.%4.%5.%6.%7.%8."/>
      <w:lvlJc w:val="left"/>
      <w:pPr>
        <w:ind w:left="4320" w:hanging="1440"/>
      </w:pPr>
      <w:rPr/>
    </w:lvl>
    <w:lvl w:ilvl="8">
      <w:start w:val="1"/>
      <w:numFmt w:val="decimal"/>
      <w:lvlText w:val="%1.%2.%3.%4.%5.%6.%7.%8.%9."/>
      <w:lvlJc w:val="left"/>
      <w:pPr>
        <w:ind w:left="504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